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CA52" w14:textId="77777777" w:rsidR="00417DD3" w:rsidRDefault="00417DD3">
      <w:pPr>
        <w:jc w:val="both"/>
        <w:rPr>
          <w:rFonts w:cs="Calibri"/>
          <w:sz w:val="20"/>
          <w:szCs w:val="20"/>
        </w:rPr>
      </w:pPr>
    </w:p>
    <w:p w14:paraId="2D7C603E" w14:textId="77777777" w:rsidR="00417DD3" w:rsidRDefault="009664B5">
      <w:pPr>
        <w:jc w:val="both"/>
        <w:rPr>
          <w:rFonts w:cs="Calibri"/>
          <w:b/>
          <w:bCs/>
          <w:sz w:val="20"/>
          <w:szCs w:val="20"/>
        </w:rPr>
      </w:pPr>
      <w:r>
        <w:rPr>
          <w:rFonts w:cs="Calibri"/>
          <w:b/>
          <w:bCs/>
          <w:sz w:val="20"/>
          <w:szCs w:val="20"/>
        </w:rPr>
        <w:t>Desempeño Medioambiental MISTURAS, SA</w:t>
      </w:r>
    </w:p>
    <w:p w14:paraId="1784E3B2" w14:textId="77777777" w:rsidR="00417DD3" w:rsidRDefault="009664B5">
      <w:pPr>
        <w:autoSpaceDE w:val="0"/>
        <w:spacing w:after="0" w:line="240" w:lineRule="auto"/>
        <w:jc w:val="both"/>
        <w:rPr>
          <w:rFonts w:eastAsia="Roboto-Light" w:cs="Calibri"/>
          <w:kern w:val="0"/>
          <w:sz w:val="20"/>
          <w:szCs w:val="20"/>
        </w:rPr>
      </w:pPr>
      <w:r>
        <w:rPr>
          <w:rFonts w:eastAsia="Roboto-Light" w:cs="Calibri"/>
          <w:kern w:val="0"/>
          <w:sz w:val="20"/>
          <w:szCs w:val="20"/>
        </w:rPr>
        <w:t xml:space="preserve">En respuesta a la emergencia climática global y en alineación con el Acuerdo de París, MISTURAS, SA, reconoce la necesidad de reducir su huella de carbono y aumentar el ciclo de vida en todas sus </w:t>
      </w:r>
      <w:r>
        <w:rPr>
          <w:rFonts w:eastAsia="Roboto-Light" w:cs="Calibri"/>
          <w:kern w:val="0"/>
          <w:sz w:val="20"/>
          <w:szCs w:val="20"/>
        </w:rPr>
        <w:t>actividades. Basándonos en el Plan Nacional Integrado de Energía y Clima (PNIEC), el Real Decreto 214/2025 que impulsa la descarbonización y exige planes de reducción a empresas, se redacta un Plan de Reducción de GEI que establece una ruta para la descarb</w:t>
      </w:r>
      <w:r>
        <w:rPr>
          <w:rFonts w:eastAsia="Roboto-Light" w:cs="Calibri"/>
          <w:kern w:val="0"/>
          <w:sz w:val="20"/>
          <w:szCs w:val="20"/>
        </w:rPr>
        <w:t>onización en el periodo 2026-2030.</w:t>
      </w:r>
    </w:p>
    <w:p w14:paraId="601FEDD7" w14:textId="77777777" w:rsidR="00417DD3" w:rsidRDefault="00417DD3">
      <w:pPr>
        <w:autoSpaceDE w:val="0"/>
        <w:spacing w:after="0" w:line="240" w:lineRule="auto"/>
        <w:jc w:val="both"/>
        <w:rPr>
          <w:rFonts w:eastAsia="Roboto-Light" w:cs="Calibri"/>
          <w:kern w:val="0"/>
          <w:sz w:val="20"/>
          <w:szCs w:val="20"/>
        </w:rPr>
      </w:pPr>
    </w:p>
    <w:p w14:paraId="43F44A90" w14:textId="77777777" w:rsidR="00417DD3" w:rsidRDefault="009664B5">
      <w:pPr>
        <w:autoSpaceDE w:val="0"/>
        <w:spacing w:after="0" w:line="240" w:lineRule="auto"/>
        <w:jc w:val="both"/>
        <w:rPr>
          <w:rFonts w:eastAsia="Roboto-Light" w:cs="Calibri"/>
          <w:kern w:val="0"/>
          <w:sz w:val="20"/>
          <w:szCs w:val="20"/>
        </w:rPr>
      </w:pPr>
      <w:r>
        <w:rPr>
          <w:rFonts w:eastAsia="Roboto-Light" w:cs="Calibri"/>
          <w:kern w:val="0"/>
          <w:sz w:val="20"/>
          <w:szCs w:val="20"/>
        </w:rPr>
        <w:t xml:space="preserve">La implementación de este plan no solo responde a las nuevas exigencias regulatorias, sino que refuerza nuestra competitividad al reducir el consumo energético, disminuyendo los costes operativos y mitigando los riesgos </w:t>
      </w:r>
      <w:r>
        <w:rPr>
          <w:rFonts w:eastAsia="Roboto-Light" w:cs="Calibri"/>
          <w:kern w:val="0"/>
          <w:sz w:val="20"/>
          <w:szCs w:val="20"/>
        </w:rPr>
        <w:t>del cambio climático en nuestra cadena de valor. Nos comprometemos a una reducción del 45% de nuestras emisiones para el año 2030, llegando a la neutralidad antes del 2050.</w:t>
      </w:r>
    </w:p>
    <w:p w14:paraId="0DDD6104" w14:textId="77777777" w:rsidR="00417DD3" w:rsidRDefault="00417DD3">
      <w:pPr>
        <w:autoSpaceDE w:val="0"/>
        <w:spacing w:after="0" w:line="240" w:lineRule="auto"/>
        <w:jc w:val="both"/>
        <w:rPr>
          <w:rFonts w:eastAsia="Roboto-Light" w:cs="Calibri"/>
          <w:kern w:val="0"/>
          <w:sz w:val="20"/>
          <w:szCs w:val="20"/>
        </w:rPr>
      </w:pPr>
    </w:p>
    <w:p w14:paraId="00DF7CBF" w14:textId="77777777" w:rsidR="00417DD3" w:rsidRDefault="009664B5">
      <w:pPr>
        <w:autoSpaceDE w:val="0"/>
        <w:spacing w:after="0" w:line="240" w:lineRule="auto"/>
        <w:jc w:val="both"/>
        <w:rPr>
          <w:rFonts w:eastAsia="Roboto-Light" w:cs="Calibri"/>
          <w:kern w:val="0"/>
          <w:sz w:val="20"/>
          <w:szCs w:val="20"/>
        </w:rPr>
      </w:pPr>
      <w:r>
        <w:rPr>
          <w:rFonts w:eastAsia="Roboto-Light" w:cs="Calibri"/>
          <w:kern w:val="0"/>
          <w:sz w:val="20"/>
          <w:szCs w:val="20"/>
        </w:rPr>
        <w:t>Para la definición de su estrategia de descarbonización, MISTURAS ha tomado como r</w:t>
      </w:r>
      <w:r>
        <w:rPr>
          <w:rFonts w:eastAsia="Roboto-Light" w:cs="Calibri"/>
          <w:kern w:val="0"/>
          <w:sz w:val="20"/>
          <w:szCs w:val="20"/>
        </w:rPr>
        <w:t>eferencia la evolución prevista en el sector de la construcción y las infraestructuras en Europa, considerando tanto las iniciativas impulsadas a nivel europeo para la transformación del ecosistema constructor como las tendencias observadas en los compromi</w:t>
      </w:r>
      <w:r>
        <w:rPr>
          <w:rFonts w:eastAsia="Roboto-Light" w:cs="Calibri"/>
          <w:kern w:val="0"/>
          <w:sz w:val="20"/>
          <w:szCs w:val="20"/>
        </w:rPr>
        <w:t>sos climáticos asumidos por compañías comparables del sector.</w:t>
      </w:r>
    </w:p>
    <w:p w14:paraId="18C157E6" w14:textId="77777777" w:rsidR="00417DD3" w:rsidRDefault="009664B5">
      <w:pPr>
        <w:autoSpaceDE w:val="0"/>
        <w:spacing w:after="0" w:line="240" w:lineRule="auto"/>
        <w:jc w:val="both"/>
        <w:rPr>
          <w:rFonts w:eastAsia="Roboto-Light" w:cs="Calibri"/>
          <w:kern w:val="0"/>
          <w:sz w:val="20"/>
          <w:szCs w:val="20"/>
        </w:rPr>
      </w:pPr>
      <w:r>
        <w:rPr>
          <w:rFonts w:eastAsia="Roboto-Light" w:cs="Calibri"/>
          <w:kern w:val="0"/>
          <w:sz w:val="20"/>
          <w:szCs w:val="20"/>
        </w:rPr>
        <w:t>Este enfoque permite situar la ambición climática de la compañía en línea con la trayectoria de transición que se está consolidando en este ámbito de actividad.</w:t>
      </w:r>
    </w:p>
    <w:p w14:paraId="4C55C1FC" w14:textId="77777777" w:rsidR="00417DD3" w:rsidRDefault="00417DD3">
      <w:pPr>
        <w:autoSpaceDE w:val="0"/>
        <w:spacing w:after="0" w:line="240" w:lineRule="auto"/>
        <w:jc w:val="both"/>
        <w:rPr>
          <w:rFonts w:eastAsia="Roboto-Light" w:cs="Calibri"/>
          <w:kern w:val="0"/>
          <w:sz w:val="20"/>
          <w:szCs w:val="20"/>
        </w:rPr>
      </w:pPr>
    </w:p>
    <w:p w14:paraId="10FFC511" w14:textId="77777777" w:rsidR="00417DD3" w:rsidRDefault="009664B5">
      <w:pPr>
        <w:autoSpaceDE w:val="0"/>
        <w:spacing w:after="0" w:line="240" w:lineRule="auto"/>
        <w:jc w:val="both"/>
        <w:rPr>
          <w:rFonts w:eastAsia="Roboto-Light" w:cs="Calibri"/>
          <w:kern w:val="0"/>
          <w:sz w:val="20"/>
          <w:szCs w:val="20"/>
        </w:rPr>
      </w:pPr>
      <w:r>
        <w:rPr>
          <w:rFonts w:eastAsia="Roboto-Light" w:cs="Calibri"/>
          <w:kern w:val="0"/>
          <w:sz w:val="20"/>
          <w:szCs w:val="20"/>
        </w:rPr>
        <w:t>A partir del inventario de emisi</w:t>
      </w:r>
      <w:r>
        <w:rPr>
          <w:rFonts w:eastAsia="Roboto-Light" w:cs="Calibri"/>
          <w:kern w:val="0"/>
          <w:sz w:val="20"/>
          <w:szCs w:val="20"/>
        </w:rPr>
        <w:t xml:space="preserve">ones correspondiente al año base 2025, MISTURAS plantea una reducción del 40 % de sus emisiones de gases de efecto invernadero asociadas a los alcances 1 y 2 para 2030. En términos absolutos, esto supondría una reducción de 918 </w:t>
      </w:r>
      <w:proofErr w:type="spellStart"/>
      <w:r>
        <w:rPr>
          <w:rFonts w:eastAsia="Roboto-Light" w:cs="Calibri"/>
          <w:kern w:val="0"/>
          <w:sz w:val="20"/>
          <w:szCs w:val="20"/>
        </w:rPr>
        <w:t>tCO₂e</w:t>
      </w:r>
      <w:proofErr w:type="spellEnd"/>
      <w:r>
        <w:rPr>
          <w:rFonts w:eastAsia="Roboto-Light" w:cs="Calibri"/>
          <w:kern w:val="0"/>
          <w:sz w:val="20"/>
          <w:szCs w:val="20"/>
        </w:rPr>
        <w:t xml:space="preserve"> en 2030. Este planteam</w:t>
      </w:r>
      <w:r>
        <w:rPr>
          <w:rFonts w:eastAsia="Roboto-Light" w:cs="Calibri"/>
          <w:kern w:val="0"/>
          <w:sz w:val="20"/>
          <w:szCs w:val="20"/>
        </w:rPr>
        <w:t>iento se considera consistente con la tendencia de reducción observada en el sector de la construcción e infraestructuras en Europa, donde los compromisos corporativos de reducción de emisiones operativas se sitúan habitualmente en rangos similares para el</w:t>
      </w:r>
      <w:r>
        <w:rPr>
          <w:rFonts w:eastAsia="Roboto-Light" w:cs="Calibri"/>
          <w:kern w:val="0"/>
          <w:sz w:val="20"/>
          <w:szCs w:val="20"/>
        </w:rPr>
        <w:t xml:space="preserve"> mismo horizonte temporal.</w:t>
      </w:r>
    </w:p>
    <w:p w14:paraId="3F37D72C" w14:textId="77777777" w:rsidR="00417DD3" w:rsidRDefault="00417DD3">
      <w:pPr>
        <w:autoSpaceDE w:val="0"/>
        <w:spacing w:after="0" w:line="240" w:lineRule="auto"/>
        <w:jc w:val="both"/>
        <w:rPr>
          <w:rFonts w:eastAsia="Roboto-Light" w:cs="Calibri"/>
          <w:kern w:val="0"/>
          <w:sz w:val="20"/>
          <w:szCs w:val="20"/>
        </w:rPr>
      </w:pPr>
    </w:p>
    <w:p w14:paraId="5C467D16" w14:textId="77777777" w:rsidR="00417DD3" w:rsidRDefault="009664B5">
      <w:pPr>
        <w:autoSpaceDE w:val="0"/>
        <w:spacing w:after="0" w:line="240" w:lineRule="auto"/>
        <w:jc w:val="both"/>
        <w:rPr>
          <w:rFonts w:eastAsia="Roboto-Light" w:cs="Calibri"/>
          <w:kern w:val="0"/>
          <w:sz w:val="20"/>
          <w:szCs w:val="20"/>
        </w:rPr>
      </w:pPr>
      <w:r>
        <w:rPr>
          <w:rFonts w:eastAsia="Roboto-Light" w:cs="Calibri"/>
          <w:kern w:val="0"/>
          <w:sz w:val="20"/>
          <w:szCs w:val="20"/>
        </w:rPr>
        <w:t>La definición de este objetivo tiene en cuenta el perfil de emisiones de la actividad de MISTURAS, SA, caracterizado por un predominio de las emisiones directas derivadas del consumo de combustibles en maquinaria y vehículos, ju</w:t>
      </w:r>
      <w:r>
        <w:rPr>
          <w:rFonts w:eastAsia="Roboto-Light" w:cs="Calibri"/>
          <w:kern w:val="0"/>
          <w:sz w:val="20"/>
          <w:szCs w:val="20"/>
        </w:rPr>
        <w:t>nto con el consumo de electricidad en instalaciones auxiliares, bases operativas y centros de trabajo. En este contexto, la senda de reducción estudiada se apoya en un conjunto de palancas operativas orientadas a disminuir progresivamente las emisiones aso</w:t>
      </w:r>
      <w:r>
        <w:rPr>
          <w:rFonts w:eastAsia="Roboto-Light" w:cs="Calibri"/>
          <w:kern w:val="0"/>
          <w:sz w:val="20"/>
          <w:szCs w:val="20"/>
        </w:rPr>
        <w:t>ciadas a estas fuentes.</w:t>
      </w:r>
    </w:p>
    <w:p w14:paraId="1739A77C" w14:textId="77777777" w:rsidR="00417DD3" w:rsidRDefault="00417DD3">
      <w:pPr>
        <w:autoSpaceDE w:val="0"/>
        <w:spacing w:after="0" w:line="240" w:lineRule="auto"/>
        <w:jc w:val="both"/>
        <w:rPr>
          <w:rFonts w:eastAsia="Roboto-Light" w:cs="Calibri"/>
          <w:kern w:val="0"/>
          <w:sz w:val="20"/>
          <w:szCs w:val="20"/>
        </w:rPr>
      </w:pPr>
    </w:p>
    <w:p w14:paraId="19DB0881" w14:textId="77777777" w:rsidR="00417DD3" w:rsidRDefault="009664B5">
      <w:pPr>
        <w:autoSpaceDE w:val="0"/>
        <w:spacing w:after="0" w:line="240" w:lineRule="auto"/>
        <w:jc w:val="both"/>
        <w:rPr>
          <w:rFonts w:eastAsia="Roboto-Light" w:cs="Calibri"/>
          <w:kern w:val="0"/>
          <w:sz w:val="20"/>
          <w:szCs w:val="20"/>
        </w:rPr>
      </w:pPr>
      <w:r>
        <w:rPr>
          <w:rFonts w:eastAsia="Roboto-Light" w:cs="Calibri"/>
          <w:kern w:val="0"/>
          <w:sz w:val="20"/>
          <w:szCs w:val="20"/>
        </w:rPr>
        <w:t>Entre las principales líneas de actuación consideradas se encuentra, en relación con las emisiones de alcance 2, la progresiva contratación de electricidad de origen renovable para el suministro energético de las instalaciones de l</w:t>
      </w:r>
      <w:r>
        <w:rPr>
          <w:rFonts w:eastAsia="Roboto-Light" w:cs="Calibri"/>
          <w:kern w:val="0"/>
          <w:sz w:val="20"/>
          <w:szCs w:val="20"/>
        </w:rPr>
        <w:t>a compañía, con el objetivo de reducir las emisiones asociadas al consumo eléctrico. Por otra parte, en relación con las emisiones de alcance 1, se prevé la evaluación progresiva de alternativas de reducción, incluyendo la renovación del parque móvil hacia</w:t>
      </w:r>
      <w:r>
        <w:rPr>
          <w:rFonts w:eastAsia="Roboto-Light" w:cs="Calibri"/>
          <w:kern w:val="0"/>
          <w:sz w:val="20"/>
          <w:szCs w:val="20"/>
        </w:rPr>
        <w:t xml:space="preserve"> tecnologías de menor impacto ambiental, el análisis de soluciones de electrificación cuando resulte técnicamente viable y la posible incorporación de combustibles alternativos, siempre que su disponibilidad, coste y desempeño operativo resulten compatible</w:t>
      </w:r>
      <w:r>
        <w:rPr>
          <w:rFonts w:eastAsia="Roboto-Light" w:cs="Calibri"/>
          <w:kern w:val="0"/>
          <w:sz w:val="20"/>
          <w:szCs w:val="20"/>
        </w:rPr>
        <w:t>s con las necesidades de la actividad.</w:t>
      </w:r>
    </w:p>
    <w:p w14:paraId="02E20925" w14:textId="77777777" w:rsidR="00417DD3" w:rsidRDefault="00417DD3">
      <w:pPr>
        <w:autoSpaceDE w:val="0"/>
        <w:spacing w:after="0" w:line="240" w:lineRule="auto"/>
        <w:jc w:val="both"/>
        <w:rPr>
          <w:rFonts w:eastAsia="Roboto-Light" w:cs="Calibri"/>
          <w:kern w:val="0"/>
          <w:sz w:val="20"/>
          <w:szCs w:val="20"/>
        </w:rPr>
      </w:pPr>
    </w:p>
    <w:p w14:paraId="34858079" w14:textId="77777777" w:rsidR="00417DD3" w:rsidRDefault="009664B5">
      <w:pPr>
        <w:autoSpaceDE w:val="0"/>
        <w:spacing w:after="0" w:line="240" w:lineRule="auto"/>
        <w:jc w:val="both"/>
        <w:rPr>
          <w:rFonts w:eastAsia="Roboto-Light" w:cs="Calibri"/>
          <w:kern w:val="0"/>
          <w:sz w:val="20"/>
          <w:szCs w:val="20"/>
        </w:rPr>
      </w:pPr>
      <w:r>
        <w:rPr>
          <w:rFonts w:eastAsia="Roboto-Light" w:cs="Calibri"/>
          <w:kern w:val="0"/>
          <w:sz w:val="20"/>
          <w:szCs w:val="20"/>
        </w:rPr>
        <w:t xml:space="preserve">La implementación efectiva de estas medidas estará condicionada por la viabilidad técnica, económica y operativa de las soluciones disponibles en cada momento, así como por la evolución del marco </w:t>
      </w:r>
      <w:r>
        <w:rPr>
          <w:rFonts w:eastAsia="Roboto-Light" w:cs="Calibri"/>
          <w:kern w:val="0"/>
          <w:sz w:val="20"/>
          <w:szCs w:val="20"/>
        </w:rPr>
        <w:t>tecnológico y de mercado. En este sentido, MISTURAS revisará periódicamente las opciones existentes, adaptando su hoja de ruta de descarbonización para garantizar un equilibrio adecuado entre ambición climática, eficiencia operativa y sostenibilidad del mo</w:t>
      </w:r>
      <w:r>
        <w:rPr>
          <w:rFonts w:eastAsia="Roboto-Light" w:cs="Calibri"/>
          <w:kern w:val="0"/>
          <w:sz w:val="20"/>
          <w:szCs w:val="20"/>
        </w:rPr>
        <w:t>delo de negocio.</w:t>
      </w:r>
    </w:p>
    <w:p w14:paraId="009E6600" w14:textId="77777777" w:rsidR="00417DD3" w:rsidRDefault="00417DD3">
      <w:pPr>
        <w:autoSpaceDE w:val="0"/>
        <w:spacing w:after="0" w:line="240" w:lineRule="auto"/>
        <w:jc w:val="both"/>
        <w:rPr>
          <w:rFonts w:eastAsia="Roboto-Light" w:cs="Calibri"/>
          <w:kern w:val="0"/>
          <w:sz w:val="20"/>
          <w:szCs w:val="20"/>
        </w:rPr>
      </w:pPr>
    </w:p>
    <w:p w14:paraId="57BBAF6B" w14:textId="77777777" w:rsidR="00417DD3" w:rsidRDefault="009664B5">
      <w:pPr>
        <w:autoSpaceDE w:val="0"/>
        <w:spacing w:after="0" w:line="240" w:lineRule="auto"/>
        <w:jc w:val="both"/>
      </w:pPr>
      <w:r>
        <w:rPr>
          <w:rFonts w:eastAsia="Roboto-Light" w:cs="Calibri"/>
          <w:kern w:val="0"/>
          <w:sz w:val="20"/>
          <w:szCs w:val="20"/>
        </w:rPr>
        <w:t>Otra de las medidas tomadas por la empresa, es la reutilización del fresado procedente de sus obras, generando mezclas más sostenibles. En este mismo año 2026 se pretende realizar una inversión para poder gestionar y valorizar la totalida</w:t>
      </w:r>
      <w:r>
        <w:rPr>
          <w:rFonts w:eastAsia="Roboto-Light" w:cs="Calibri"/>
          <w:kern w:val="0"/>
          <w:sz w:val="20"/>
          <w:szCs w:val="20"/>
        </w:rPr>
        <w:t>d del fresado generado por la compañía, lo que supondrá un avance significativo en la mejora del ciclo de vida de su producción y una reducción, de hasta el 30%, en el uso de materias primas en muchas unidades de obra.</w:t>
      </w:r>
    </w:p>
    <w:sectPr w:rsidR="00417DD3">
      <w:pgSz w:w="11906" w:h="16838"/>
      <w:pgMar w:top="1417" w:right="1133" w:bottom="141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9D85" w14:textId="77777777" w:rsidR="00000000" w:rsidRDefault="009664B5">
      <w:pPr>
        <w:spacing w:after="0" w:line="240" w:lineRule="auto"/>
      </w:pPr>
      <w:r>
        <w:separator/>
      </w:r>
    </w:p>
  </w:endnote>
  <w:endnote w:type="continuationSeparator" w:id="0">
    <w:p w14:paraId="5F67E4A1" w14:textId="77777777" w:rsidR="00000000" w:rsidRDefault="0096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Ligh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7629" w14:textId="77777777" w:rsidR="00000000" w:rsidRDefault="009664B5">
      <w:pPr>
        <w:spacing w:after="0" w:line="240" w:lineRule="auto"/>
      </w:pPr>
      <w:r>
        <w:rPr>
          <w:color w:val="000000"/>
        </w:rPr>
        <w:separator/>
      </w:r>
    </w:p>
  </w:footnote>
  <w:footnote w:type="continuationSeparator" w:id="0">
    <w:p w14:paraId="526D9E54" w14:textId="77777777" w:rsidR="00000000" w:rsidRDefault="00966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5DF6"/>
    <w:multiLevelType w:val="multilevel"/>
    <w:tmpl w:val="C58636C0"/>
    <w:styleLink w:val="WWOutlineListStyle"/>
    <w:lvl w:ilvl="0">
      <w:start w:val="1"/>
      <w:numFmt w:val="none"/>
      <w:lvlText w:val="%1"/>
      <w:lvlJc w:val="left"/>
    </w:lvl>
    <w:lvl w:ilvl="1">
      <w:start w:val="1"/>
      <w:numFmt w:val="none"/>
      <w:lvlText w:val="%2"/>
      <w:lvlJc w:val="left"/>
    </w:lvl>
    <w:lvl w:ilvl="2">
      <w:start w:val="1"/>
      <w:numFmt w:val="decimal"/>
      <w:lvlText w:val="%3."/>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9A9118D"/>
    <w:multiLevelType w:val="multilevel"/>
    <w:tmpl w:val="171E626C"/>
    <w:styleLink w:val="WWOutlineListStyle1"/>
    <w:lvl w:ilvl="0">
      <w:start w:val="1"/>
      <w:numFmt w:val="none"/>
      <w:lvlText w:val=""/>
      <w:lvlJc w:val="left"/>
    </w:lvl>
    <w:lvl w:ilvl="1">
      <w:start w:val="1"/>
      <w:numFmt w:val="none"/>
      <w:lvlText w:val=""/>
      <w:lvlJc w:val="left"/>
    </w:lvl>
    <w:lvl w:ilvl="2">
      <w:start w:val="1"/>
      <w:numFmt w:val="decimal"/>
      <w:pStyle w:val="Ttulo3"/>
      <w:lvlText w:val="%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17DD3"/>
    <w:rsid w:val="00417DD3"/>
    <w:rsid w:val="009664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9F43"/>
  <w15:docId w15:val="{BAE12EC9-0D8D-49E2-A509-5B29E189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3">
    <w:name w:val="heading 3"/>
    <w:basedOn w:val="Normal"/>
    <w:next w:val="Normal"/>
    <w:uiPriority w:val="9"/>
    <w:semiHidden/>
    <w:unhideWhenUsed/>
    <w:qFormat/>
    <w:pPr>
      <w:keepNext/>
      <w:keepLines/>
      <w:numPr>
        <w:ilvl w:val="2"/>
        <w:numId w:val="1"/>
      </w:numPr>
      <w:tabs>
        <w:tab w:val="left" w:pos="0"/>
      </w:tabs>
      <w:spacing w:before="40" w:after="0"/>
      <w:outlineLvl w:val="2"/>
    </w:pPr>
    <w:rPr>
      <w:rFonts w:ascii="Arial" w:eastAsia="Times New Roman" w:hAnsi="Arial"/>
      <w:b/>
      <w:color w:val="70AD4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
    <w:name w:val="WW_OutlineListStyle_1"/>
    <w:basedOn w:val="Sinlista"/>
    <w:pPr>
      <w:numPr>
        <w:numId w:val="1"/>
      </w:numPr>
    </w:pPr>
  </w:style>
  <w:style w:type="character" w:customStyle="1" w:styleId="Ttulo3Car">
    <w:name w:val="Título 3 Car"/>
    <w:basedOn w:val="Fuentedeprrafopredeter"/>
    <w:rPr>
      <w:rFonts w:ascii="Arial" w:eastAsia="Times New Roman" w:hAnsi="Arial" w:cs="Times New Roman"/>
      <w:b/>
      <w:color w:val="70AD47"/>
    </w:rPr>
  </w:style>
  <w:style w:type="numbering" w:customStyle="1" w:styleId="WWOutlineListStyle">
    <w:name w:val="WW_OutlineListStyle"/>
    <w:basedOn w:val="Sin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3617</Characters>
  <Application>Microsoft Office Word</Application>
  <DocSecurity>0</DocSecurity>
  <Lines>30</Lines>
  <Paragraphs>8</Paragraphs>
  <ScaleCrop>false</ScaleCrop>
  <Company>Microsoft</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calidad</dc:creator>
  <dc:description/>
  <cp:lastModifiedBy>calidad</cp:lastModifiedBy>
  <cp:revision>2</cp:revision>
  <dcterms:created xsi:type="dcterms:W3CDTF">2026-06-11T06:56:00Z</dcterms:created>
  <dcterms:modified xsi:type="dcterms:W3CDTF">2026-06-11T06:56:00Z</dcterms:modified>
</cp:coreProperties>
</file>